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703580</wp:posOffset>
            </wp:positionV>
            <wp:extent cx="720090" cy="909266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9092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1165860</wp:posOffset>
            </wp:positionH>
            <wp:positionV relativeFrom="page">
              <wp:posOffset>996950</wp:posOffset>
            </wp:positionV>
            <wp:extent cx="49530" cy="4953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698500</wp:posOffset>
            </wp:positionV>
            <wp:extent cx="6616700" cy="914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6" w:lineRule="exact" w:before="0" w:after="0"/>
        <w:ind w:left="0" w:right="3602" w:firstLine="0"/>
        <w:jc w:val="right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 xml:space="preserve">Artificial Intelligence in 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t>G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e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osciences 3 (2022) 46–52</w:t>
          </w:r>
        </w:hyperlink>
      </w:r>
    </w:p>
    <w:p>
      <w:pPr>
        <w:autoSpaceDN w:val="0"/>
        <w:autoSpaceDE w:val="0"/>
        <w:widowControl/>
        <w:spacing w:line="260" w:lineRule="exact" w:before="282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Contents lists available at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ScienceDirect </w:t>
      </w:r>
    </w:p>
    <w:p>
      <w:pPr>
        <w:autoSpaceDN w:val="0"/>
        <w:autoSpaceDE w:val="0"/>
        <w:widowControl/>
        <w:spacing w:line="456" w:lineRule="exact" w:before="154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28"/>
        </w:rPr>
        <w:t xml:space="preserve">Artificial Intelligence in Geosciences </w:t>
      </w:r>
    </w:p>
    <w:p>
      <w:pPr>
        <w:autoSpaceDN w:val="0"/>
        <w:autoSpaceDE w:val="0"/>
        <w:widowControl/>
        <w:spacing w:line="164" w:lineRule="exact" w:before="310" w:after="0"/>
        <w:ind w:left="0" w:right="0" w:firstLine="0"/>
        <w:jc w:val="center"/>
      </w:pPr>
      <w:r>
        <w:rPr>
          <w:rFonts w:ascii="Univers" w:hAnsi="Univers" w:eastAsia="Univers"/>
          <w:b w:val="0"/>
          <w:i w:val="0"/>
          <w:color w:val="000000"/>
          <w:sz w:val="16"/>
        </w:rPr>
        <w:t xml:space="preserve">journal homepage: </w:t>
      </w:r>
      <w:r>
        <w:rPr>
          <w:rFonts w:ascii="Univers" w:hAnsi="Univers" w:eastAsia="Univers"/>
          <w:b w:val="0"/>
          <w:i w:val="0"/>
          <w:color w:val="2196D1"/>
          <w:sz w:val="16"/>
        </w:rPr>
        <w:hyperlink r:id="rId10" w:history="1">
          <w:r>
            <w:rPr>
              <w:rStyle w:val="Hyperlink"/>
            </w:rPr>
            <w:t>www.keaipublishing.com/en/journals/artificial-intelligence-in-geoscience</w:t>
          </w:r>
        </w:hyperlink>
      </w:r>
      <w:r>
        <w:rPr>
          <w:rFonts w:ascii="Univers" w:hAnsi="Univers" w:eastAsia="Univers"/>
          <w:b w:val="0"/>
          <w:i w:val="0"/>
          <w:color w:val="2196D1"/>
          <w:sz w:val="16"/>
        </w:rPr>
        <w:t xml:space="preserve">s </w:t>
      </w:r>
    </w:p>
    <w:p>
      <w:pPr>
        <w:autoSpaceDN w:val="0"/>
        <w:autoSpaceDE w:val="0"/>
        <w:widowControl/>
        <w:spacing w:line="332" w:lineRule="exact" w:before="810" w:after="0"/>
        <w:ind w:left="2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PolarCAP </w:t>
      </w:r>
      <w:r>
        <w:rPr>
          <w:rFonts w:ascii="STIX" w:hAnsi="STIX" w:eastAsia="STIX"/>
          <w:b w:val="0"/>
          <w:i w:val="0"/>
          <w:color w:val="000000"/>
          <w:sz w:val="27"/>
        </w:rPr>
        <w:t xml:space="preserve">–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 deep learning approach for first motion polarity classification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of earthquake waveforms </w:t>
      </w:r>
    </w:p>
    <w:p>
      <w:pPr>
        <w:autoSpaceDN w:val="0"/>
        <w:autoSpaceDE w:val="0"/>
        <w:widowControl/>
        <w:spacing w:line="260" w:lineRule="exact" w:before="214" w:after="0"/>
        <w:ind w:left="2" w:right="273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Megha Chakraborty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Claudia Quinteros Cartaya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Wei Li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Johannes Faber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Georg Rümpker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Horst Stoecker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Nishtha Srivastava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 xml:space="preserve">* </w:t>
      </w:r>
    </w:p>
    <w:p>
      <w:pPr>
        <w:autoSpaceDN w:val="0"/>
        <w:autoSpaceDE w:val="0"/>
        <w:widowControl/>
        <w:spacing w:line="172" w:lineRule="exact" w:before="120" w:after="158"/>
        <w:ind w:left="2" w:right="4320" w:firstLine="0"/>
        <w:jc w:val="left"/>
      </w:pP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Frankfurt Institute for Advanced Studies, 60438, Frankfurt am Main, Germany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Institute of Geosciences, Goethe-University Frankfurt, 60438, Frankfurt am Main, Germany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Institute for Theoretical Physics, Goethe-University Frankfurt, 60438, Frankfurt am Main, Germany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d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Xidian-FIAS International Joint Research Center, Giersch Science Center, 60438, Frankfurt am Main, Germany </w:t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e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GSI Helmholtzzentrum for Schwerionenforschung GmbH, 64291, Darmstadt, Germany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35"/>
        <w:gridCol w:w="5235"/>
      </w:tblGrid>
      <w:tr>
        <w:trPr>
          <w:trHeight w:hRule="exact" w:val="640"/>
        </w:trPr>
        <w:tc>
          <w:tcPr>
            <w:tcW w:type="dxa" w:w="2664"/>
            <w:tcBorders>
              <w:top w:sz="1.599999999999909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4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4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1874"/>
        </w:trPr>
        <w:tc>
          <w:tcPr>
            <w:tcW w:type="dxa" w:w="2664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0" w:right="129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First-motion polarity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Earthquake waveforms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Convolutional </w:t>
            </w:r>
          </w:p>
        </w:tc>
        <w:tc>
          <w:tcPr>
            <w:tcW w:type="dxa" w:w="7784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4" w:firstLine="0"/>
              <w:jc w:val="both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polarity of first P-wave arrivals plays a significant role in the effective determination of focal mechanisms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specially for smaller earthquakes. Manual estimation of polarities is not only time-consuming but also prone to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human errors. This warrants a need for an automated algorithm for first motion polarity determination. We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present a deep learning model - PolarCAP that uses an autoencoder architecture to identify first-motion polarities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of earth-quake waveforms. PolarCAP is trained in a supervised fashion using more than 130,000 labelled traces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from the Italian seismic dataset (INSTANCE) and is cross-validated on 22,000 traces to choose the most optimal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set of hyperparameters. We obtain an accuracy of 0.98 on a completely unseen test dataset of almost 33,000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traces. Furthermore, we check the model generalizability by testing it on the datasets provided by previous works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show that our model achieves a higher recall on both positive and negative polarities.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82" w:left="750" w:header="720" w:footer="720" w:gutter="0"/>
          <w:cols w:space="720" w:num="1" w:equalWidth="0"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2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first motion polarity of earthquake waveforms is an important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 in determining focal mechanisms, particularly for smaller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earthquakes. Traditionally the first-motion polarity is assigned manually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expert analysts. However, based on their observation on a dataset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Northridge region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Hardebeck and Shearer (2002)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reported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the picked polarities are inconsistent with the true polarities about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10% (for impulsive onset where polarities are more easily determined)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20% (for emergent onset where polarities are more ambiguous)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times. This, coupled with the growing volumes of seismological data,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warrants the need for a faster, more precise and efficient method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picking of polarities. </w:t>
      </w:r>
    </w:p>
    <w:p>
      <w:pPr>
        <w:autoSpaceDN w:val="0"/>
        <w:autoSpaceDE w:val="0"/>
        <w:widowControl/>
        <w:spacing w:line="210" w:lineRule="exact" w:before="50" w:after="0"/>
        <w:ind w:left="2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automated polarity picking algorithm proposed by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Chen 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Holland (2016)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based on comparing the signal amplitude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background noise and checking whether it crosses a user-defined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threshold.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Pugh et al. (2016)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presented a Bayesian inference approach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polarity determination. Such numerical approaches, however, (i)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 intensive human involvement, (ii) are heavily dependent on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limited number of parameters, and (iii) fail to account for the complex 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nature of seismograms; and hence cannot compete with manual picks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Ross et al.,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Data-driven computer vision techniques, such as convolutional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networks have been shown to be capable of analysing spatially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independent information by mimicking the perception of images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 brain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Voulodimos et al.,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Lundervold and Lundervold,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Brachmann et al., 2017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Like in most research fields, 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has been successfully applied to seismology for tasks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event detection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Perol et al.,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seismic phase identifi-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picking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Chen,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Zhu and Beroza,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Li et al.,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magnitude characterization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Mousavi and Beroza,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Chak-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raborty et al., 2021a,b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applicability of simple Convolutional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Networks (CNNs) in the picking of first-motion polarities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demonstrated by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Ross et al. (2018)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Hara et al. (2019)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Uchide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(2020)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10" w:lineRule="exact" w:before="50" w:after="304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study we use an autoencoder model for determining the first-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motion polarities. Unlike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Mousavi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who also use autoen-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coders for polarity classification in an unsupervised fashion, we adopt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supervised approach and leverage the polarity information provided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metadata of the INSTANCE dataset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Michelini et al.,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Since </w:t>
      </w:r>
    </w:p>
    <w:p>
      <w:pPr>
        <w:sectPr>
          <w:type w:val="nextColumn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192" w:lineRule="exact" w:before="42" w:after="0"/>
        <w:ind w:left="102" w:right="360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Frankfurt Institute for Advanced Studies, 60438, Frankfurt am Main, Germany. </w:t>
      </w:r>
      <w:r>
        <w:tab/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1" w:history="1">
          <w:r>
            <w:rPr>
              <w:rStyle w:val="Hyperlink"/>
            </w:rPr>
            <w:t>srivastava@fias.uni-frankfurt.d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e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(N. Srivastava). </w:t>
      </w:r>
    </w:p>
    <w:p>
      <w:pPr>
        <w:autoSpaceDN w:val="0"/>
        <w:autoSpaceDE w:val="0"/>
        <w:widowControl/>
        <w:spacing w:line="190" w:lineRule="exact" w:before="150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https://doi.org/10.1016/j.aiig.2022.08.001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14 June 2022; Received in revise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d form 27 July 2022; Accepted 10 August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8 September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2666-5441/© 2022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2" w:history="1">
          <w:r>
            <w:rPr>
              <w:rStyle w:val="Hyperlink"/>
            </w:rPr>
            <w:t xml:space="preserve"> The Authors. Publishing services by Elsevier B.V.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on behalf of KeAi Communications Co. Ltd. This is an open access article under the CC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2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1" w:equalWidth="0"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Chakraborty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46–52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1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several algorithms that are capable of picking P-arrival times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an accuracy of the order of 0.01s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Mousavi et al.,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Li et al.,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Zhu and Beroza,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Liao et al.,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we focus solely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of polarities and not the picking of P-arrival times. </w:t>
      </w:r>
    </w:p>
    <w:p>
      <w:pPr>
        <w:autoSpaceDN w:val="0"/>
        <w:autoSpaceDE w:val="0"/>
        <w:widowControl/>
        <w:spacing w:line="210" w:lineRule="exact" w:before="52" w:after="0"/>
        <w:ind w:left="0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we assume the P-arrival time to be an a-priori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use data windows of fixed length centred around the known P-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arrival sample. We perform extensive analysis on our results to inves-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tigate its potential at outperforming human analysts and to investigate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possible scenarios that can lead to an error in assignment of polarity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the model.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Methodology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 Data </w:t>
      </w:r>
    </w:p>
    <w:p>
      <w:pPr>
        <w:autoSpaceDN w:val="0"/>
        <w:autoSpaceDE w:val="0"/>
        <w:widowControl/>
        <w:spacing w:line="210" w:lineRule="exact" w:before="210" w:after="0"/>
        <w:ind w:left="0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Nearly 1.2 million waveforms recorded primarily by the Italian Na-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tional Seismic Network between January 2005 and January 2020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 from the INSTANCE dataset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Michelini et al.,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are used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 and validate our model. The dataset also contains traces for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 detections are retrieved using EQTransformer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Mousavi et al.,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); this is indicated by the metadata parameter trace_-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EQT_number_detections. For simplicity we use only those traces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the number of detections is 1. It has been observed by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Ross et al.,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that the accuracy in the prediction of polarity falls exponentially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signal-to-noise ratio (SNR), when the SNR is below 10 dB. Thus,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ignore traces with SNR less than 10 dB to ensure minimum discrepancy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training data. This leaves us with 443,002 traces out of which 109,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748 have polarity information identified by expert analysts and made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available through catalogs. These 109,748 traces are divided in the ratio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60:10:30 for training, validation and testing purposes. </w:t>
      </w:r>
    </w:p>
    <w:p>
      <w:pPr>
        <w:autoSpaceDN w:val="0"/>
        <w:autoSpaceDE w:val="0"/>
        <w:widowControl/>
        <w:spacing w:line="224" w:lineRule="exact" w:before="38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trace in the training and validation sets is included twice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 set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–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once in its original form and once by flipping it (i.e.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multiplying it by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1). This augmentation technique, previously used by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Uchide (2020)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not only doubles the volume of training data but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helps in balancing out the two classes (‘positive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‘negative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polarity),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is known to benefit the learning of a classifier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Batista et al.,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2004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No such augmentation is applied to the test dataset to retain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original distribution of classes. We do not apply any pre-processing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steps, other than normalising each waveform by dividing it with 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maximum absolute value. As mentioned earlier, we work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assumption that the first P-arrival time is already known to us. We use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fixed data window centred around the P-arrival sample. The length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window was chosen experimentally to be 64 samples after exploring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several values between 32 and 1024 samples. Note that only powers of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used since the auto-encoder reduces the data dimensionality by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factor of 2 at each step.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2.2. Model architecture and training </w:t>
      </w:r>
    </w:p>
    <w:p>
      <w:pPr>
        <w:autoSpaceDN w:val="0"/>
        <w:autoSpaceDE w:val="0"/>
        <w:widowControl/>
        <w:spacing w:line="218" w:lineRule="exact" w:before="202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 use an autoencoder model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Rumelhart et al., 1986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whose 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chitecture is shown in Figure 1. It uses two sets of 1D Convolution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Kiranyaz et al., 2015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and Maxpooling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Nagi et al., 2011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layers to map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 into a 16-dimensional latent space (encoded layer). The decoder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reconstructing the data consists of two sets of Convolutional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Upsampling layers. Further details on the hyperparameters used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found on the caption for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 softmax function is applied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encoded layer to perform the classification. The model is implemented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 Keras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Charles, 2013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and trained and tested on an NVIDIA A100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GPU. An Adam Optimiser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Kingma and BaAdam, 2014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is used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backpropagation. The loss function is a weighted sum of the recon-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struction and classification losses with weights of 1 and 200 respec-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tively. Since, we are more interested in the classification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than the reconstruction performance, and the reconstruction is 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to facilitate the learning, higher weight is assigned to classification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loss. To calculate the reconstruction and classification losses we use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Keras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Charles, 2013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inbuilt loss functions for mean squared error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huber loss with delta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0.5, respectively. We use early stopping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chelt, 2012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to prevent overfitting, whereby the training stops auto-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matically if the validation loss does not decrease for 15 consecutive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epochs, and the best set of learned model weights (one with lowest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 loss) is saved iteratively. We also use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ReduceLROnPlateau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 to reduce the learning rate by a factor of 10 if the validation loss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 not decrease for 10 epochs, starting with a learning rate of 10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letting it have a minimum value of 10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Using these conditions,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trains for 75 epochs with an average training time of 1s per epoch. </w:t>
      </w:r>
    </w:p>
    <w:p>
      <w:pPr>
        <w:autoSpaceDN w:val="0"/>
        <w:autoSpaceDE w:val="0"/>
        <w:widowControl/>
        <w:spacing w:line="260" w:lineRule="exact" w:before="204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3. Results and discussion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08" w:after="206"/>
        <w:ind w:left="156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stated previously, PolarCAP was trained only on data with signal-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to-noise ratio (SNR) above 10 dB to ensure a good quality of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data, so we test it separately on data with SNR above and below 10 dB.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testing was performed on two independent datasets: (i) the portion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INSTANCE dataset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Michelini et al.,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not used for training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 and (ii) test dataset from Southern California Seismic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 (SCSN)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Southern california earthquake data center, 2013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Ross et al. (2018)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For the latter dataset, however, we ignored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waveforms for which the polarity was ‘undetermined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results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summarised in the first half of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corresponding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confusion matrices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Ting, 2017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can be found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As one can see,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accuracy for traces with SNR above 10 dB is around 98% for both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datasets which means for about 98% of the traces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polarity labels determined by our model agrees with the polarity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labels assigned through manual analysis. A few examples of such traces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a. As expected, the accuracy is lower for smaller SNR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since a higher noise level makes the polarity information ambiguous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hence difficult to determine either manually or using a deep learning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4"/>
        <w:gridCol w:w="5234"/>
      </w:tblGrid>
      <w:tr>
        <w:trPr>
          <w:trHeight w:hRule="exact" w:val="3126"/>
        </w:trPr>
        <w:tc>
          <w:tcPr>
            <w:tcW w:type="dxa" w:w="6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34509" cy="190372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4509" cy="1903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2" w:after="0"/>
              <w:ind w:left="100" w:right="4" w:firstLine="0"/>
              <w:jc w:val="both"/>
            </w:pPr>
            <w:r>
              <w:rPr>
                <w:w w:val="102.47142655508858"/>
                <w:rFonts w:ascii="CharisSIL" w:hAnsi="CharisSIL" w:eastAsia="CharisSIL"/>
                <w:b/>
                <w:i w:val="0"/>
                <w:color w:val="000000"/>
                <w:sz w:val="14"/>
              </w:rPr>
              <w:t>Fig. 1.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The autoencoder architecture used for our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study. The 1D convolutional layers in the encoder use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‘relu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 xml:space="preserve">’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activation and have 32 and 8 filters respectively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kernel sizes of 32 and 16, respectively. Each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Maxpooling layer reduces the data dimension by 2.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drop out rate used is 0.3. The convolutional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layers in the decoder use ‘tanh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 xml:space="preserve">’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 ‘relu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 xml:space="preserve">’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activations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respectively and 8 and 32 filters and kernel sizes of 16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32, respectively. The final decoder layer has a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‘tanh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 xml:space="preserve">’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activation. A softmax function is applied on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encoded layer to get the probability of the waveform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having a ‘negative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 xml:space="preserve">’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 a ‘positive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 xml:space="preserve">’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polarity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respectively. </w:t>
            </w:r>
          </w:p>
        </w:tc>
      </w:tr>
    </w:tbl>
    <w:p>
      <w:pPr>
        <w:autoSpaceDN w:val="0"/>
        <w:autoSpaceDE w:val="0"/>
        <w:widowControl/>
        <w:spacing w:line="208" w:lineRule="exact" w:before="382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47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Chakraborty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46–52</w:t>
      </w:r>
    </w:p>
    <w:p>
      <w:pPr>
        <w:autoSpaceDN w:val="0"/>
        <w:autoSpaceDE w:val="0"/>
        <w:widowControl/>
        <w:spacing w:line="190" w:lineRule="exact" w:before="214" w:after="20"/>
        <w:ind w:left="0" w:right="86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Summary of Model Performance when trained with and without data augmentation on the two datasets for traces with SNR above and below 10 dB.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8"/>
        <w:gridCol w:w="1308"/>
        <w:gridCol w:w="1308"/>
        <w:gridCol w:w="1308"/>
        <w:gridCol w:w="1308"/>
        <w:gridCol w:w="1308"/>
        <w:gridCol w:w="1308"/>
        <w:gridCol w:w="1308"/>
      </w:tblGrid>
      <w:tr>
        <w:trPr>
          <w:trHeight w:hRule="exact" w:val="260"/>
        </w:trPr>
        <w:tc>
          <w:tcPr>
            <w:tcW w:type="dxa" w:w="3684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594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Dataset </w:t>
            </w:r>
          </w:p>
        </w:tc>
        <w:tc>
          <w:tcPr>
            <w:tcW w:type="dxa" w:w="137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(%) </w:t>
            </w:r>
          </w:p>
        </w:tc>
        <w:tc>
          <w:tcPr>
            <w:tcW w:type="dxa" w:w="10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Precision (%) </w:t>
            </w:r>
          </w:p>
        </w:tc>
        <w:tc>
          <w:tcPr>
            <w:tcW w:type="dxa" w:w="116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Recall (%) </w:t>
            </w:r>
          </w:p>
        </w:tc>
        <w:tc>
          <w:tcPr>
            <w:tcW w:type="dxa" w:w="6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204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8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without Augmentation </w:t>
            </w:r>
          </w:p>
        </w:tc>
        <w:tc>
          <w:tcPr>
            <w:tcW w:type="dxa" w:w="1636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74" w:after="0"/>
              <w:ind w:left="3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INSTANCE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a </w:t>
            </w:r>
          </w:p>
        </w:tc>
        <w:tc>
          <w:tcPr>
            <w:tcW w:type="dxa" w:w="137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Positve </w:t>
            </w:r>
          </w:p>
        </w:tc>
        <w:tc>
          <w:tcPr>
            <w:tcW w:type="dxa" w:w="116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Negative </w:t>
            </w:r>
          </w:p>
        </w:tc>
        <w:tc>
          <w:tcPr>
            <w:tcW w:type="dxa" w:w="10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Positve </w:t>
            </w:r>
          </w:p>
        </w:tc>
        <w:tc>
          <w:tcPr>
            <w:tcW w:type="dxa" w:w="6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Negative </w:t>
            </w:r>
          </w:p>
        </w:tc>
      </w:tr>
      <w:tr>
        <w:trPr>
          <w:trHeight w:hRule="exact" w:val="296"/>
        </w:trPr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7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184" w:after="0"/>
              <w:ind w:left="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SNR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≥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dB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SNR </w:t>
            </w:r>
            <w:r>
              <w:rPr>
                <w:w w:val="98.09076602642352"/>
                <w:rFonts w:ascii="TeX_CM_Maths_Italic" w:hAnsi="TeX_CM_Maths_Italic" w:eastAsia="TeX_CM_Maths_Italic"/>
                <w:b w:val="0"/>
                <w:i/>
                <w:color w:val="000000"/>
                <w:sz w:val="13"/>
              </w:rPr>
              <w:t>&lt;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dB </w:t>
            </w:r>
          </w:p>
          <w:p>
            <w:pPr>
              <w:autoSpaceDN w:val="0"/>
              <w:autoSpaceDE w:val="0"/>
              <w:widowControl/>
              <w:spacing w:line="106" w:lineRule="exact" w:before="168" w:after="0"/>
              <w:ind w:left="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SNR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≥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dB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SNR </w:t>
            </w:r>
            <w:r>
              <w:rPr>
                <w:w w:val="98.09076602642352"/>
                <w:rFonts w:ascii="TeX_CM_Maths_Italic" w:hAnsi="TeX_CM_Maths_Italic" w:eastAsia="TeX_CM_Maths_Italic"/>
                <w:b w:val="0"/>
                <w:i/>
                <w:color w:val="000000"/>
                <w:sz w:val="13"/>
              </w:rPr>
              <w:t>&lt;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dB </w:t>
            </w:r>
          </w:p>
        </w:tc>
        <w:tc>
          <w:tcPr>
            <w:tcW w:type="dxa" w:w="1426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06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98.19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96.22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97.53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89.65 </w:t>
            </w:r>
          </w:p>
        </w:tc>
        <w:tc>
          <w:tcPr>
            <w:tcW w:type="dxa" w:w="107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71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99.06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98.18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96.11 </w:t>
            </w:r>
          </w:p>
        </w:tc>
        <w:tc>
          <w:tcPr>
            <w:tcW w:type="dxa" w:w="116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80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96.49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93.63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77.67 </w:t>
            </w:r>
          </w:p>
        </w:tc>
        <w:tc>
          <w:tcPr>
            <w:tcW w:type="dxa" w:w="107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576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98.22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97.35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88.87 </w:t>
            </w:r>
          </w:p>
        </w:tc>
        <w:tc>
          <w:tcPr>
            <w:tcW w:type="dxa" w:w="618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98.12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97.87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91.48 </w:t>
            </w:r>
          </w:p>
        </w:tc>
      </w:tr>
      <w:tr>
        <w:trPr>
          <w:trHeight w:hRule="exact" w:val="482"/>
        </w:trPr>
        <w:tc>
          <w:tcPr>
            <w:tcW w:type="dxa" w:w="3684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2" w:after="0"/>
              <w:ind w:left="0" w:right="936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SCSN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b </w:t>
            </w:r>
          </w:p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278"/>
        </w:trPr>
        <w:tc>
          <w:tcPr>
            <w:tcW w:type="dxa" w:w="20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with Augmentation </w:t>
            </w:r>
          </w:p>
        </w:tc>
        <w:tc>
          <w:tcPr>
            <w:tcW w:type="dxa" w:w="16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3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INSTANCE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a </w:t>
            </w:r>
          </w:p>
        </w:tc>
        <w:tc>
          <w:tcPr>
            <w:tcW w:type="dxa" w:w="1372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186" w:after="0"/>
              <w:ind w:left="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SNR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≥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dB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SNR </w:t>
            </w:r>
            <w:r>
              <w:rPr>
                <w:w w:val="98.09076602642352"/>
                <w:rFonts w:ascii="TeX_CM_Maths_Italic" w:hAnsi="TeX_CM_Maths_Italic" w:eastAsia="TeX_CM_Maths_Italic"/>
                <w:b w:val="0"/>
                <w:i/>
                <w:color w:val="000000"/>
                <w:sz w:val="13"/>
              </w:rPr>
              <w:t>&lt;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dB </w:t>
            </w:r>
          </w:p>
          <w:p>
            <w:pPr>
              <w:autoSpaceDN w:val="0"/>
              <w:autoSpaceDE w:val="0"/>
              <w:widowControl/>
              <w:spacing w:line="108" w:lineRule="exact" w:before="164" w:after="0"/>
              <w:ind w:left="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SNR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≥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dB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SNR </w:t>
            </w:r>
            <w:r>
              <w:rPr>
                <w:w w:val="98.09076602642352"/>
                <w:rFonts w:ascii="TeX_CM_Maths_Italic" w:hAnsi="TeX_CM_Maths_Italic" w:eastAsia="TeX_CM_Maths_Italic"/>
                <w:b w:val="0"/>
                <w:i/>
                <w:color w:val="000000"/>
                <w:sz w:val="13"/>
              </w:rPr>
              <w:t>&lt;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dB </w:t>
            </w:r>
          </w:p>
        </w:tc>
        <w:tc>
          <w:tcPr>
            <w:tcW w:type="dxa" w:w="1426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106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97.65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94.24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97.78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92.46 </w:t>
            </w:r>
          </w:p>
        </w:tc>
        <w:tc>
          <w:tcPr>
            <w:tcW w:type="dxa" w:w="107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71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98.61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97.68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96.86 </w:t>
            </w:r>
          </w:p>
        </w:tc>
        <w:tc>
          <w:tcPr>
            <w:tcW w:type="dxa" w:w="1162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72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95.77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83.55 </w:t>
            </w:r>
          </w:p>
        </w:tc>
        <w:tc>
          <w:tcPr>
            <w:tcW w:type="dxa" w:w="107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71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92.36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92.26 </w:t>
            </w:r>
          </w:p>
        </w:tc>
        <w:tc>
          <w:tcPr>
            <w:tcW w:type="dxa" w:w="61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97.23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98.05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92.93 </w:t>
            </w:r>
          </w:p>
        </w:tc>
      </w:tr>
      <w:tr>
        <w:trPr>
          <w:trHeight w:hRule="exact" w:val="360"/>
        </w:trPr>
        <w:tc>
          <w:tcPr>
            <w:tcW w:type="dxa" w:w="36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0" w:right="936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SCSN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b </w:t>
            </w:r>
          </w:p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650"/>
        </w:trPr>
        <w:tc>
          <w:tcPr>
            <w:tcW w:type="dxa" w:w="36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100" w:after="0"/>
              <w:ind w:left="112" w:right="0" w:firstLine="0"/>
              <w:jc w:val="left"/>
            </w:pPr>
            <w:r>
              <w:rPr>
                <w:w w:val="103.91317367553712"/>
                <w:rFonts w:ascii="CharisSIL" w:hAnsi="CharisSIL" w:eastAsia="CharisSIL"/>
                <w:b w:val="0"/>
                <w:i w:val="0"/>
                <w:color w:val="000000"/>
                <w:sz w:val="10"/>
              </w:rPr>
              <w:t>a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2196D1"/>
                <w:sz w:val="14"/>
              </w:rPr>
              <w:t>Michelini et al., 2021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298" w:lineRule="exact" w:before="0" w:after="0"/>
              <w:ind w:left="0" w:right="0" w:firstLine="0"/>
              <w:jc w:val="center"/>
            </w:pPr>
            <w:r>
              <w:rPr>
                <w:w w:val="103.91317367553712"/>
                <w:rFonts w:ascii="CharisSIL" w:hAnsi="CharisSIL" w:eastAsia="CharisSIL"/>
                <w:b w:val="0"/>
                <w:i w:val="0"/>
                <w:color w:val="000000"/>
                <w:sz w:val="10"/>
              </w:rPr>
              <w:t>b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2196D1"/>
                <w:sz w:val="14"/>
              </w:rPr>
              <w:t>Southern california earthquake data center, 2013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). </w:t>
            </w:r>
          </w:p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40" w:lineRule="auto" w:before="3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31915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3191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74" w:after="194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Confusion matrices for testing model on INSTANCE data (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Michelini et al., 2021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 with (a) SNR 10 dB (b) SNR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&lt;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10 dB and SCSN data used by (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Ross et al.,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2018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 with (c) SNR 10 dB (d) SNR.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54" w:after="0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model. It is also worth noting that although the model was trained 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data from the Italian National Seismic Network it can perform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reasonably well on data from Southern California Seismic Network.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demonstrates the model generalizability. </w:t>
      </w:r>
    </w:p>
    <w:p>
      <w:pPr>
        <w:autoSpaceDN w:val="0"/>
        <w:autoSpaceDE w:val="0"/>
        <w:widowControl/>
        <w:spacing w:line="260" w:lineRule="exact" w:before="17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3.1. Comparison with previously published models </w:t>
      </w:r>
    </w:p>
    <w:p>
      <w:pPr>
        <w:autoSpaceDN w:val="0"/>
        <w:autoSpaceDE w:val="0"/>
        <w:widowControl/>
        <w:spacing w:line="208" w:lineRule="exact" w:before="212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section we compare the performance of PolarCAP with 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described in previous works such as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Ross et al. (2018)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Uchide (2020)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Hara et al. (2019)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To do this, we train each model on the same traces,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using the same model architecture, training parameters and 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length specified by the respective authors. We then test the 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both test datasets, with SNR above 10 dB for a reliable comparison.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observations are summed up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As one can see PolarCAP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outperforms the other models. </w:t>
      </w:r>
    </w:p>
    <w:p>
      <w:pPr>
        <w:autoSpaceDN w:val="0"/>
        <w:autoSpaceDE w:val="0"/>
        <w:widowControl/>
        <w:spacing w:line="210" w:lineRule="exact" w:before="224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3.2. Manual inspection of traces with mismatched assigned and predicted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po-larity </w:t>
      </w:r>
    </w:p>
    <w:p>
      <w:pPr>
        <w:autoSpaceDN w:val="0"/>
        <w:autoSpaceDE w:val="0"/>
        <w:widowControl/>
        <w:spacing w:line="208" w:lineRule="exact" w:before="208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further investigate the 595 traces from INSTANCE dataset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SNR above 10 dB for which the polarity predicted by PolarCAP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manually assigned polarities were in disagreement (refer to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We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Chakraborty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46–52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80175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8017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6" w:lineRule="exact" w:before="12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Examples of traces where (a) the polarity predicted by the model matches with the polarity assigned by human analysts, (b</w:t>
      </w:r>
      <w:r>
        <w:rPr>
          <w:w w:val="103.91317367553712"/>
          <w:rFonts w:ascii="CharisSIL" w:hAnsi="CharisSIL" w:eastAsia="CharisSIL"/>
          <w:b w:val="0"/>
          <w:i w:val="0"/>
          <w:color w:val="000000"/>
          <w:sz w:val="10"/>
        </w:rPr>
        <w:t>9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 the model predicts the correct </w:t>
      </w:r>
    </w:p>
    <w:p>
      <w:pPr>
        <w:autoSpaceDN w:val="0"/>
        <w:autoSpaceDE w:val="0"/>
        <w:widowControl/>
        <w:spacing w:line="234" w:lineRule="exact" w:before="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polarity as opposed to manually assigned polarity. The red dashed line shows the P-arrival sample provided in the metadata. In the figure titles, M stands for event 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magnitude, SNR for signal-to-noise ratio, e for epicentral distance and d for focal depth.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P</w:t>
      </w:r>
      <w:r>
        <w:rPr>
          <w:w w:val="103.91317367553712"/>
          <w:rFonts w:ascii="CharisSIL" w:hAnsi="CharisSIL" w:eastAsia="CharisSIL"/>
          <w:b w:val="0"/>
          <w:i/>
          <w:color w:val="000000"/>
          <w:sz w:val="10"/>
        </w:rPr>
        <w:t xml:space="preserve">assgn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P</w:t>
      </w:r>
      <w:r>
        <w:rPr>
          <w:w w:val="103.91317367553712"/>
          <w:rFonts w:ascii="CharisSIL" w:hAnsi="CharisSIL" w:eastAsia="CharisSIL"/>
          <w:b w:val="0"/>
          <w:i/>
          <w:color w:val="000000"/>
          <w:sz w:val="10"/>
        </w:rPr>
        <w:t xml:space="preserve">pred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represent the assigned and predicted polarities respectively </w:t>
      </w:r>
    </w:p>
    <w:p>
      <w:pPr>
        <w:autoSpaceDN w:val="0"/>
        <w:autoSpaceDE w:val="0"/>
        <w:widowControl/>
        <w:spacing w:line="236" w:lineRule="exact" w:before="0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and the percentages in square brackets represent probabilities corresponding to the predicted polarity. </w:t>
      </w:r>
    </w:p>
    <w:p>
      <w:pPr>
        <w:autoSpaceDN w:val="0"/>
        <w:autoSpaceDE w:val="0"/>
        <w:widowControl/>
        <w:spacing w:line="208" w:lineRule="exact" w:before="414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49</w:t>
      </w:r>
    </w:p>
    <w:p>
      <w:pPr>
        <w:sectPr>
          <w:pgSz w:w="11906" w:h="15874"/>
          <w:pgMar w:top="336" w:right="690" w:bottom="288" w:left="752" w:header="720" w:footer="720" w:gutter="0"/>
          <w:cols w:space="720" w:num="1" w:equalWidth="0">
            <w:col w:w="1046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Chakraborty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46–52</w:t>
      </w:r>
    </w:p>
    <w:p>
      <w:pPr>
        <w:autoSpaceDN w:val="0"/>
        <w:autoSpaceDE w:val="0"/>
        <w:widowControl/>
        <w:spacing w:line="190" w:lineRule="exact" w:before="214" w:after="20"/>
        <w:ind w:left="0" w:right="2016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Comparison between different models. As one can see from the table, PolarCAP outperforms the other models for both the datasets.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8"/>
        <w:gridCol w:w="1308"/>
        <w:gridCol w:w="1308"/>
        <w:gridCol w:w="1308"/>
        <w:gridCol w:w="1308"/>
        <w:gridCol w:w="1308"/>
        <w:gridCol w:w="1308"/>
        <w:gridCol w:w="1308"/>
      </w:tblGrid>
      <w:tr>
        <w:trPr>
          <w:trHeight w:hRule="exact" w:val="260"/>
        </w:trPr>
        <w:tc>
          <w:tcPr>
            <w:tcW w:type="dxa" w:w="1312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Dataset </w:t>
            </w:r>
          </w:p>
        </w:tc>
        <w:tc>
          <w:tcPr>
            <w:tcW w:type="dxa" w:w="253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46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173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(%) </w:t>
            </w:r>
          </w:p>
        </w:tc>
        <w:tc>
          <w:tcPr>
            <w:tcW w:type="dxa" w:w="13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Precision (%) </w:t>
            </w:r>
          </w:p>
        </w:tc>
        <w:tc>
          <w:tcPr>
            <w:tcW w:type="dxa" w:w="146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Recall (%) </w:t>
            </w:r>
          </w:p>
        </w:tc>
        <w:tc>
          <w:tcPr>
            <w:tcW w:type="dxa" w:w="6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808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7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INSTANCE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a </w:t>
            </w:r>
          </w:p>
        </w:tc>
        <w:tc>
          <w:tcPr>
            <w:tcW w:type="dxa" w:w="3034"/>
            <w:gridSpan w:val="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2" w:after="0"/>
              <w:ind w:left="968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PolarCAP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Ross et al. (2018) 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b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Hara et al. (2019) 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Uchide (2020) 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d </w:t>
            </w:r>
          </w:p>
        </w:tc>
        <w:tc>
          <w:tcPr>
            <w:tcW w:type="dxa" w:w="173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Positve </w:t>
            </w:r>
          </w:p>
        </w:tc>
        <w:tc>
          <w:tcPr>
            <w:tcW w:type="dxa" w:w="146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Negative </w:t>
            </w:r>
          </w:p>
        </w:tc>
        <w:tc>
          <w:tcPr>
            <w:tcW w:type="dxa" w:w="13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Positve </w:t>
            </w:r>
          </w:p>
        </w:tc>
        <w:tc>
          <w:tcPr>
            <w:tcW w:type="dxa" w:w="6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Negative </w:t>
            </w:r>
          </w:p>
        </w:tc>
      </w:tr>
      <w:tr>
        <w:trPr>
          <w:trHeight w:hRule="exact" w:val="778"/>
        </w:trPr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2616"/>
            <w:gridSpan w:val="2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73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296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98.19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97.06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98.01 </w:t>
            </w:r>
          </w:p>
        </w:tc>
        <w:tc>
          <w:tcPr>
            <w:tcW w:type="dxa" w:w="13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00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99.06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96.08 </w:t>
            </w:r>
          </w:p>
        </w:tc>
        <w:tc>
          <w:tcPr>
            <w:tcW w:type="dxa" w:w="146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10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96.49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98.42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98.26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99.01 </w:t>
            </w:r>
          </w:p>
        </w:tc>
        <w:tc>
          <w:tcPr>
            <w:tcW w:type="dxa" w:w="13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01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98.22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96.56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98.03 </w:t>
            </w:r>
          </w:p>
        </w:tc>
        <w:tc>
          <w:tcPr>
            <w:tcW w:type="dxa" w:w="6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25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98.12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97.36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97.31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98.01 </w:t>
            </w:r>
          </w:p>
        </w:tc>
      </w:tr>
      <w:tr>
        <w:trPr>
          <w:trHeight w:hRule="exact" w:val="738"/>
        </w:trPr>
        <w:tc>
          <w:tcPr>
            <w:tcW w:type="dxa" w:w="8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SCSN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e </w:t>
            </w:r>
          </w:p>
        </w:tc>
        <w:tc>
          <w:tcPr>
            <w:tcW w:type="dxa" w:w="3034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968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PolarCAP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Ross et al. (2018) 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b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Hara et al. (2019) 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 xml:space="preserve">Uchide (2020) 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2196D1"/>
                <w:sz w:val="9"/>
              </w:rPr>
              <w:t xml:space="preserve">d </w:t>
            </w:r>
          </w:p>
        </w:tc>
        <w:tc>
          <w:tcPr>
            <w:tcW w:type="dxa" w:w="173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137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97.53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96.18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97.27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97.23 </w:t>
            </w:r>
          </w:p>
        </w:tc>
        <w:tc>
          <w:tcPr>
            <w:tcW w:type="dxa" w:w="137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101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91.71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94.37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94.04 </w:t>
            </w:r>
          </w:p>
        </w:tc>
        <w:tc>
          <w:tcPr>
            <w:tcW w:type="dxa" w:w="146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110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98.69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98.96 </w:t>
            </w:r>
          </w:p>
        </w:tc>
        <w:tc>
          <w:tcPr>
            <w:tcW w:type="dxa" w:w="137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101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97.35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97.53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97.79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98.02 </w:t>
            </w:r>
          </w:p>
        </w:tc>
        <w:tc>
          <w:tcPr>
            <w:tcW w:type="dxa" w:w="61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25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97.87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95.48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97.01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96.82 </w:t>
            </w:r>
          </w:p>
        </w:tc>
      </w:tr>
      <w:tr>
        <w:trPr>
          <w:trHeight w:hRule="exact" w:val="1124"/>
        </w:trPr>
        <w:tc>
          <w:tcPr>
            <w:tcW w:type="dxa" w:w="38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12" w:right="0" w:firstLine="0"/>
              <w:jc w:val="left"/>
            </w:pPr>
            <w:r>
              <w:rPr>
                <w:w w:val="103.91317367553712"/>
                <w:rFonts w:ascii="CharisSIL" w:hAnsi="CharisSIL" w:eastAsia="CharisSIL"/>
                <w:b w:val="0"/>
                <w:i w:val="0"/>
                <w:color w:val="000000"/>
                <w:sz w:val="10"/>
              </w:rPr>
              <w:t>a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2196D1"/>
                <w:sz w:val="14"/>
              </w:rPr>
              <w:t>Michelini et al., 2021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298" w:lineRule="exact" w:before="0" w:after="0"/>
              <w:ind w:left="112" w:right="0" w:firstLine="0"/>
              <w:jc w:val="left"/>
            </w:pPr>
            <w:r>
              <w:rPr>
                <w:w w:val="103.91317367553712"/>
                <w:rFonts w:ascii="CharisSIL" w:hAnsi="CharisSIL" w:eastAsia="CharisSIL"/>
                <w:b w:val="0"/>
                <w:i w:val="0"/>
                <w:color w:val="000000"/>
                <w:sz w:val="10"/>
              </w:rPr>
              <w:t>b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2196D1"/>
                <w:sz w:val="14"/>
              </w:rPr>
              <w:t>Ross et al., 2018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298" w:lineRule="exact" w:before="0" w:after="0"/>
              <w:ind w:left="112" w:right="0" w:firstLine="0"/>
              <w:jc w:val="left"/>
            </w:pPr>
            <w:r>
              <w:rPr>
                <w:w w:val="103.91317367553712"/>
                <w:rFonts w:ascii="CharisSIL" w:hAnsi="CharisSIL" w:eastAsia="CharisSIL"/>
                <w:b w:val="0"/>
                <w:i w:val="0"/>
                <w:color w:val="000000"/>
                <w:sz w:val="10"/>
              </w:rPr>
              <w:t>c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2196D1"/>
                <w:sz w:val="14"/>
              </w:rPr>
              <w:t>Hara et al., 2019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298" w:lineRule="exact" w:before="0" w:after="0"/>
              <w:ind w:left="112" w:right="0" w:firstLine="0"/>
              <w:jc w:val="left"/>
            </w:pPr>
            <w:r>
              <w:rPr>
                <w:w w:val="103.91317367553712"/>
                <w:rFonts w:ascii="CharisSIL" w:hAnsi="CharisSIL" w:eastAsia="CharisSIL"/>
                <w:b w:val="0"/>
                <w:i w:val="0"/>
                <w:color w:val="000000"/>
                <w:sz w:val="10"/>
              </w:rPr>
              <w:t>d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2196D1"/>
                <w:sz w:val="14"/>
              </w:rPr>
              <w:t>Uchide, 2020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298" w:lineRule="exact" w:before="0" w:after="0"/>
              <w:ind w:left="112" w:right="0" w:firstLine="0"/>
              <w:jc w:val="left"/>
            </w:pPr>
            <w:r>
              <w:rPr>
                <w:w w:val="103.91317367553712"/>
                <w:rFonts w:ascii="CharisSIL" w:hAnsi="CharisSIL" w:eastAsia="CharisSIL"/>
                <w:b w:val="0"/>
                <w:i w:val="0"/>
                <w:color w:val="000000"/>
                <w:sz w:val="10"/>
              </w:rPr>
              <w:t>e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2196D1"/>
                <w:sz w:val="14"/>
              </w:rPr>
              <w:t>Southern california earthquake data center, 2013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). </w:t>
            </w:r>
          </w:p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40" w:lineRule="auto" w:before="3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37719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72" w:after="196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(a) Examples of traces where the polarity prediction was incorrect due to an error in the P-arrival time provided in the metadata (showed with red-dashed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line). The P- arrival sample picked by the model from (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Li et al., 2021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 is shown with a dotted blue line. The dotted gray line shows the new time window. The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predicted polarities in red and blue correspond to the arrival times provided in the metadata and those picked using (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Li et al., 2021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 respectively (b) Examples of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traces where the polarity was predicted incorrectly by the model due to the emergent nature of the P-arrival. The panel on the right shows a magnified plot of just 10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samples around the P-arrival sample (provided in the metadata). In the figure titles, M stands for event magnitude, SNR for signal-to-noise ratio, e for epicentral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distance and d for focal depth.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P</w:t>
      </w:r>
      <w:r>
        <w:rPr>
          <w:w w:val="103.91317367553712"/>
          <w:rFonts w:ascii="CharisSIL" w:hAnsi="CharisSIL" w:eastAsia="CharisSIL"/>
          <w:b w:val="0"/>
          <w:i/>
          <w:color w:val="000000"/>
          <w:sz w:val="10"/>
        </w:rPr>
        <w:t xml:space="preserve">assgn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P</w:t>
      </w:r>
      <w:r>
        <w:rPr>
          <w:w w:val="103.91317367553712"/>
          <w:rFonts w:ascii="CharisSIL" w:hAnsi="CharisSIL" w:eastAsia="CharisSIL"/>
          <w:b w:val="0"/>
          <w:i/>
          <w:color w:val="000000"/>
          <w:sz w:val="10"/>
        </w:rPr>
        <w:t xml:space="preserve">pred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represent the assigned and predicted polarities respectively and the percentages in square brackets represent prob-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abilities corresponding to the predicted polarity.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picked P-phases and in each of these cases the polarities predicted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now matched with the assigned polarities.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 shows some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examples of emergent arrivals. It is also observed that the probability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for emergent onsets are usually lower than that for impulsive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onsets. </w:t>
      </w:r>
    </w:p>
    <w:p>
      <w:pPr>
        <w:autoSpaceDN w:val="0"/>
        <w:autoSpaceDE w:val="0"/>
        <w:widowControl/>
        <w:spacing w:line="260" w:lineRule="exact" w:before="25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3.3. Factors affecting model accuracy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looked at the distribution of the incorrectly classified traces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terms of signal-to-noise ratio, magnitude, focal depth, and epicentral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50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Chakraborty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46–52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3835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83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Distribution of incorrectly classified traces as a fraction of total number of traces, with respect to (a) Signal-to-noise ratio and magnitude (b) Focal depth and </w:t>
      </w:r>
    </w:p>
    <w:p>
      <w:pPr>
        <w:autoSpaceDN w:val="0"/>
        <w:autoSpaceDE w:val="0"/>
        <w:widowControl/>
        <w:spacing w:line="240" w:lineRule="exact" w:before="0" w:after="19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epicentral distance (c) Average shear wave velocity of the top 30 m of subsurface (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V</w:t>
      </w:r>
      <w:r>
        <w:rPr>
          <w:w w:val="103.91317367553712"/>
          <w:rFonts w:ascii="CharisSIL" w:hAnsi="CharisSIL" w:eastAsia="CharisSIL"/>
          <w:b w:val="0"/>
          <w:i/>
          <w:color w:val="000000"/>
          <w:sz w:val="10"/>
        </w:rPr>
        <w:t>S</w:t>
      </w:r>
      <w:r>
        <w:rPr>
          <w:w w:val="103.91317367553712"/>
          <w:rFonts w:ascii="CharisSIL" w:hAnsi="CharisSIL" w:eastAsia="CharisSIL"/>
          <w:b w:val="0"/>
          <w:i w:val="0"/>
          <w:color w:val="000000"/>
          <w:sz w:val="10"/>
        </w:rPr>
        <w:t>30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6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5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nature as compared to shallow earthquakes of similar magnitude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Bor-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mann et al., 2014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10" w:lineRule="exact" w:before="52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also looked at the fraction of incorrect classification for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site conditions as characterised by the average shear wave velocity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top 30 m of subsurface (</w:t>
      </w:r>
      <w:r>
        <w:rPr>
          <w:rFonts w:ascii="CharisSIL" w:hAnsi="CharisSIL" w:eastAsia="CharisSIL"/>
          <w:b w:val="0"/>
          <w:i/>
          <w:color w:val="000000"/>
          <w:sz w:val="16"/>
        </w:rPr>
        <w:t>V</w:t>
      </w:r>
      <w:r>
        <w:rPr>
          <w:rFonts w:ascii="CharisSIL" w:hAnsi="CharisSIL" w:eastAsia="CharisSIL"/>
          <w:b w:val="0"/>
          <w:i/>
          <w:color w:val="000000"/>
          <w:sz w:val="12"/>
        </w:rPr>
        <w:t>S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We find that the tendency for incorrect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polarity classification is slightly higher for </w:t>
      </w:r>
      <w:r>
        <w:rPr>
          <w:rFonts w:ascii="CharisSIL" w:hAnsi="CharisSIL" w:eastAsia="CharisSIL"/>
          <w:b w:val="0"/>
          <w:i/>
          <w:color w:val="000000"/>
          <w:sz w:val="16"/>
        </w:rPr>
        <w:t>V</w:t>
      </w:r>
      <w:r>
        <w:rPr>
          <w:rFonts w:ascii="CharisSIL" w:hAnsi="CharisSIL" w:eastAsia="CharisSIL"/>
          <w:b w:val="0"/>
          <w:i/>
          <w:color w:val="000000"/>
          <w:sz w:val="12"/>
        </w:rPr>
        <w:t>S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30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&lt;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420 ms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although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11 events recorded at stations with </w:t>
      </w:r>
      <w:r>
        <w:rPr>
          <w:rFonts w:ascii="CharisSIL" w:hAnsi="CharisSIL" w:eastAsia="CharisSIL"/>
          <w:b w:val="0"/>
          <w:i/>
          <w:color w:val="000000"/>
          <w:sz w:val="16"/>
        </w:rPr>
        <w:t>V</w:t>
      </w:r>
      <w:r>
        <w:rPr>
          <w:rFonts w:ascii="CharisSIL" w:hAnsi="CharisSIL" w:eastAsia="CharisSIL"/>
          <w:b w:val="0"/>
          <w:i/>
          <w:color w:val="000000"/>
          <w:sz w:val="12"/>
        </w:rPr>
        <w:t>S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30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&lt;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240 ms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is no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 misclassification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c). </w:t>
      </w:r>
    </w:p>
    <w:p>
      <w:pPr>
        <w:autoSpaceDN w:val="0"/>
        <w:autoSpaceDE w:val="0"/>
        <w:widowControl/>
        <w:spacing w:line="260" w:lineRule="exact" w:before="20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 Further improvement through augmentation </w:t>
      </w:r>
    </w:p>
    <w:p>
      <w:pPr>
        <w:autoSpaceDN w:val="0"/>
        <w:autoSpaceDE w:val="0"/>
        <w:widowControl/>
        <w:spacing w:line="210" w:lineRule="exact" w:before="208" w:after="0"/>
        <w:ind w:left="0" w:right="3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outlined above, the incorrect determination of polarity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caused by incorrect picking of P-wave arrival time or emergent nature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P-onsets. In order to tackle the first issue, we used data augmentation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 a time shift to some of the traces in the training data.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 technique was also explored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Uchide (2020)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Since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did not have any information on the quality of P-wave onsets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metadata, it was not possible to apply augmentation to increase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amount of emergent traces in the training data. The time shift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applied to 1/5th of the traces (which were then added back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dataset); the amount of time shift was chosen from a normal distribution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mean 0 and standard deviation of 10 samples. A maximum shift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30 samples was allowed to ensure that the first P-arrival is included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window.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re-training the model on the augmented data, we tested it again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 the same test sets. The corresponding evaluation of the model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formance is shown in the second half of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As one can see, the 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data augmentation resulted in lower accuracy on the INSTANCE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 (for both low and high SNR). This could be because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dataset, more often than not the traces had correctly picked P-arrival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times and hence the augmentation was not needed. In case of the 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from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Southern california earthquake data center (2013)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hand, the accuracy increased to 0.25% for high SNR data and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51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Chakraborty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46–52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6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Nachwuchswissenschaftlerinnen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 grant SAI 01IS20059by the Bundes-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ministerium für Bildung und Forschung - BMBF. Calculations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 at the Frankfurt Institute for Advanced Studies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GPU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cluster, funded by BMBF for the project Seismologie und Artifizielle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Intelligenz (SAI). The authors are also thankful to Darius Fenner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Jonas K</w:t>
      </w:r>
      <w:r>
        <w:rPr>
          <w:rFonts w:ascii="TeX_CM_Roman" w:hAnsi="TeX_CM_Roman" w:eastAsia="TeX_CM_Roman"/>
          <w:b w:val="0"/>
          <w:i w:val="0"/>
          <w:color w:val="000000"/>
          <w:sz w:val="16"/>
        </w:rPr>
        <w:t>¨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ohler for their kind suggestions. Prof. Dr. Horst Stoecker grate-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fully acknowledges the Judah M. Eisenberg Laureatus - Professur 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Fachbereich Physik, Goethe Universit</w:t>
      </w:r>
      <w:r>
        <w:rPr>
          <w:rFonts w:ascii="TeX_CM_Roman" w:hAnsi="TeX_CM_Roman" w:eastAsia="TeX_CM_Roman"/>
          <w:b w:val="0"/>
          <w:i w:val="0"/>
          <w:color w:val="000000"/>
          <w:sz w:val="16"/>
        </w:rPr>
        <w:t>¨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 Frankfurt, funded by the Walter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Greiner Gesellschaft zur F</w:t>
      </w:r>
      <w:r>
        <w:rPr>
          <w:rFonts w:ascii="TeX_CM_Roman" w:hAnsi="TeX_CM_Roman" w:eastAsia="TeX_CM_Roman"/>
          <w:b w:val="0"/>
          <w:i w:val="0"/>
          <w:color w:val="000000"/>
          <w:sz w:val="16"/>
        </w:rPr>
        <w:t>¨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orderung der physikalischen Grund-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lagenforschung e.V.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autoSpaceDE w:val="0"/>
        <w:widowControl/>
        <w:spacing w:line="162" w:lineRule="exact" w:before="192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Batista, G.E.A.P.A., Prati, R.C., Monard, M.C., 2004. A study of the behavior of several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methods for balancing ma- chine learning training data. SIGKDD Explorations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Newsletter 6, 20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29.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https://doi.org/10.1145/1007730.1007735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6" w:after="0"/>
        <w:ind w:left="0" w:right="576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 xml:space="preserve">Bormann, P., Klinge, K.,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Wendt, S., 2014. Data Analysis and Seismog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ram in-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Terpretation, pp. 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126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238" w:right="208" w:hanging="238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Brac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hmann, A., Barth, E., 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edies, C., 2017. Using cnn fea- tures to better understand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what makes visual art- works special. Frontiers in Psychology 8.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10.3389/fpsyg.2017.00830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Cha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kraborty, M., Fenner, D., Li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, W., Faber, J., Zhou, K., Rümpker, G., et al., 2022. </w:t>
      </w:r>
    </w:p>
    <w:p>
      <w:pPr>
        <w:autoSpaceDN w:val="0"/>
        <w:autoSpaceDE w:val="0"/>
        <w:widowControl/>
        <w:spacing w:line="156" w:lineRule="exact" w:before="58" w:after="0"/>
        <w:ind w:left="23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CREIME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—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 convolutional recurrent model for earthquake identification and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magnitude estimation. J. Geophys. Res. Solid Earth 127, e2022JB024595.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doi.org/10.1029/2022JB024595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Cha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kraborty, M., Li, W., Faber, J., 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uempker, G., Stoecker, H., Srivastava, N., 2021a. </w:t>
      </w:r>
    </w:p>
    <w:p>
      <w:pPr>
        <w:autoSpaceDN w:val="0"/>
        <w:autoSpaceDE w:val="0"/>
        <w:widowControl/>
        <w:spacing w:line="160" w:lineRule="exact" w:before="50" w:after="0"/>
        <w:ind w:left="23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 Study on the Effect of in- Put Data Length on Deep Learning Based Magnitude Clas-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Sifier.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https://doi.org/10.48550/ARXIV.2112.07551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https://arxiv.org/abs/2112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>.07551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Cha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krabort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y, M., Rümpker, G., St</w:t>
      </w:r>
      <w:r>
        <w:rPr>
          <w:w w:val="98.09076602642352"/>
          <w:rFonts w:ascii="TeX_CM_Roman" w:hAnsi="TeX_CM_Roman" w:eastAsia="TeX_CM_Roman"/>
          <w:b w:val="0"/>
          <w:i w:val="0"/>
          <w:color w:val="000000"/>
          <w:sz w:val="13"/>
        </w:rPr>
        <w:t>¨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ocker, H., Li, W., Faber, J., Fenner, D., Zhou, K.,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Srivastava, N., 2021b. Real Time Magnitude Classification of Earthquake Waveforms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using Deep Learning, EGU General Assembly 2021, online, EGU21-15941.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doi.org/10.5194/egusphere-egu21-15941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Cha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 xml:space="preserve">rles, P., 2013. Project title.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https://github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.com/charlespwd/project-title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288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Chen, Y., 2018. Automatic micr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oseismic event picking via unsupervised ma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- chine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learning. Geophys. J. Int. 212, 88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102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6" w:lineRule="exact" w:before="44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Che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 xml:space="preserve">n, C., Holland, A.A., 2016. Phasepapy: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a robust pure python package for automatic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identification of seismic phases. Seismological Research Letters 87, 13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>4</w:t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1396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8" w:after="0"/>
        <w:ind w:left="0" w:right="288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Har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a, S., Fukahata, Y., Iio, Y., 2019. P-wave first-motion polarity determination of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waveform data in western Japan using deep learning. Earth Planets Space 71. </w:t>
      </w:r>
    </w:p>
    <w:p>
      <w:pPr>
        <w:autoSpaceDN w:val="0"/>
        <w:autoSpaceDE w:val="0"/>
        <w:widowControl/>
        <w:spacing w:line="208" w:lineRule="exact" w:before="0" w:after="0"/>
        <w:ind w:left="23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https://doi.org/10.1186/s40623-019-1111-x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Har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debeck, J.L., Shearer, P.M., 2002. A new met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hod for determining first- motion foca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l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mechanisms. Bulletin of the Seismological Society of Amer- ica 92, 2264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2276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 xml:space="preserve">.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King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ma, D.P., Ba, J., Adam, 2014. A Method for Stochastic Optimization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50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Kiranyaz, S., Ince, T., Hamila, R., Gabbouj, M., 2015. Convolutional Neu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- Ral Networks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for Patient-specific Ecg Classification, pp. 2608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2611.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https://doi.org/10.1109/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EMBC.2015.7318926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Li,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 xml:space="preserve">W., Chakraborty, M.,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Fenner, D., Faber, J., Zhou, K., Rümpker, G., St</w:t>
      </w:r>
      <w:r>
        <w:rPr>
          <w:w w:val="98.09076602642352"/>
          <w:rFonts w:ascii="TeX_CM_Roman" w:hAnsi="TeX_CM_Roman" w:eastAsia="TeX_CM_Roman"/>
          <w:b w:val="0"/>
          <w:i w:val="0"/>
          <w:color w:val="000000"/>
          <w:sz w:val="13"/>
        </w:rPr>
        <w:t>¨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ocker, H.,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Srivastava, N., 2021. Epick: multi-class attention-based u-shaped neural network for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earthquake detection and seismic phase picking.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https://arxiv.org/abs/2109.02567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Li, W., Sha, Y., Zhou, K., Faber, J., Ruempker, G., Stoe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cker, H., Srivastava, N., 2022. Dee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Learning-Based Small Mag- Nitude Earthquake Detection and Seismic Phase Classifi-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Cation.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https://doi.org/10.48550/ARXIV.2204.02870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https://arxiv.org/abs/22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04.0287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52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102" w:space="0"/>
        <w:col w:w="5331" w:space="0"/>
        <w:col w:w="10433" w:space="0"/>
        <w:col w:w="5102" w:space="0"/>
        <w:col w:w="5366" w:space="0"/>
        <w:col w:w="10468" w:space="0"/>
        <w:col w:w="5102" w:space="0"/>
        <w:col w:w="5366" w:space="0"/>
        <w:col w:w="10468" w:space="0"/>
        <w:col w:w="10463" w:space="0"/>
        <w:col w:w="5102" w:space="0"/>
        <w:col w:w="5366" w:space="0"/>
        <w:col w:w="10468" w:space="0"/>
        <w:col w:w="10468" w:space="0"/>
        <w:col w:w="5224" w:space="0"/>
        <w:col w:w="5244" w:space="0"/>
        <w:col w:w="10468" w:space="0"/>
        <w:col w:w="10470" w:space="0"/>
        <w:col w:w="5226" w:space="0"/>
        <w:col w:w="5244" w:space="0"/>
        <w:col w:w="1047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2.08.001" TargetMode="External"/><Relationship Id="rId10" Type="http://schemas.openxmlformats.org/officeDocument/2006/relationships/hyperlink" Target="https://www.keaipublishing.com/en/journals/artificial-intelligence-in-geosciences" TargetMode="External"/><Relationship Id="rId11" Type="http://schemas.openxmlformats.org/officeDocument/2006/relationships/hyperlink" Target="mailto:srivastava@fias.uni-frankfurt.de" TargetMode="External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hyperlink" Target="https://doi.org/10.1145/1007730.1007735" TargetMode="External"/><Relationship Id="rId24" Type="http://schemas.openxmlformats.org/officeDocument/2006/relationships/hyperlink" Target="http://refhub.elsevier.com/S2666-5441(22)00024-7/sref2" TargetMode="External"/><Relationship Id="rId25" Type="http://schemas.openxmlformats.org/officeDocument/2006/relationships/hyperlink" Target="https://doi.org/10.3389/fpsyg.2017.00830" TargetMode="External"/><Relationship Id="rId26" Type="http://schemas.openxmlformats.org/officeDocument/2006/relationships/hyperlink" Target="https://doi.org/10.1029/2022JB024595" TargetMode="External"/><Relationship Id="rId27" Type="http://schemas.openxmlformats.org/officeDocument/2006/relationships/hyperlink" Target="https://doi.org/10.48550/ARXIV.2112.07551" TargetMode="External"/><Relationship Id="rId28" Type="http://schemas.openxmlformats.org/officeDocument/2006/relationships/hyperlink" Target="https://arxiv.org/abs/2112.07551" TargetMode="External"/><Relationship Id="rId29" Type="http://schemas.openxmlformats.org/officeDocument/2006/relationships/hyperlink" Target="https://doi.org/10.5194/egusphere-egu21-15941" TargetMode="External"/><Relationship Id="rId30" Type="http://schemas.openxmlformats.org/officeDocument/2006/relationships/hyperlink" Target="https://github.com/charlespwd/project-title" TargetMode="External"/><Relationship Id="rId31" Type="http://schemas.openxmlformats.org/officeDocument/2006/relationships/hyperlink" Target="http://refhub.elsevier.com/S2666-5441(22)00024-7/sref8" TargetMode="External"/><Relationship Id="rId32" Type="http://schemas.openxmlformats.org/officeDocument/2006/relationships/hyperlink" Target="http://refhub.elsevier.com/S2666-5441(22)00024-7/sref9" TargetMode="External"/><Relationship Id="rId33" Type="http://schemas.openxmlformats.org/officeDocument/2006/relationships/hyperlink" Target="https://doi.org/10.1186/s40623-019-1111-x" TargetMode="External"/><Relationship Id="rId34" Type="http://schemas.openxmlformats.org/officeDocument/2006/relationships/hyperlink" Target="http://refhub.elsevier.com/S2666-5441(22)00024-7/sref11" TargetMode="External"/><Relationship Id="rId35" Type="http://schemas.openxmlformats.org/officeDocument/2006/relationships/hyperlink" Target="http://refhub.elsevier.com/S2666-5441(22)00024-7/sref12" TargetMode="External"/><Relationship Id="rId36" Type="http://schemas.openxmlformats.org/officeDocument/2006/relationships/hyperlink" Target="https://doi.org/10.1109/EMBC.2015.7318926" TargetMode="External"/><Relationship Id="rId37" Type="http://schemas.openxmlformats.org/officeDocument/2006/relationships/hyperlink" Target="https://arxiv.org/abs/2109.02567" TargetMode="External"/><Relationship Id="rId38" Type="http://schemas.openxmlformats.org/officeDocument/2006/relationships/hyperlink" Target="https://doi.org/10.48550/ARXIV.2204.02870" TargetMode="External"/><Relationship Id="rId39" Type="http://schemas.openxmlformats.org/officeDocument/2006/relationships/hyperlink" Target="https://arxiv.org/abs/2204.0287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